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1AED" w14:textId="53C80E40" w:rsidR="00A6063B" w:rsidRDefault="00A6063B" w:rsidP="00A6063B">
      <w:pPr>
        <w:pStyle w:val="BodyText"/>
        <w:ind w:left="0"/>
        <w:jc w:val="center"/>
      </w:pPr>
      <w:r>
        <w:t>Wyoming Mining Natural Resource Foundation</w:t>
      </w:r>
    </w:p>
    <w:p w14:paraId="3CD788BD" w14:textId="01E1710F" w:rsidR="00A6063B" w:rsidRDefault="00A6063B" w:rsidP="00A6063B">
      <w:pPr>
        <w:pStyle w:val="BodyText"/>
        <w:ind w:left="0"/>
        <w:jc w:val="center"/>
      </w:pPr>
      <w:r>
        <w:t>Summary Description</w:t>
      </w:r>
    </w:p>
    <w:p w14:paraId="40BAEE65" w14:textId="1DE69BCB" w:rsidR="00A6063B" w:rsidRDefault="00A6063B" w:rsidP="00A6063B">
      <w:pPr>
        <w:pStyle w:val="BodyText"/>
        <w:ind w:left="0"/>
        <w:jc w:val="center"/>
      </w:pPr>
      <w:r>
        <w:t>Candidate Conservation Agreement with Assurances/Candidate Conservation Agreement</w:t>
      </w:r>
    </w:p>
    <w:p w14:paraId="15EF8B9C" w14:textId="77777777" w:rsidR="00A6063B" w:rsidRDefault="00A6063B" w:rsidP="00A6063B">
      <w:pPr>
        <w:pStyle w:val="BodyText"/>
        <w:ind w:left="0"/>
        <w:jc w:val="center"/>
      </w:pPr>
    </w:p>
    <w:p w14:paraId="1F4FC4FC" w14:textId="53FCA8E5" w:rsidR="0013148B" w:rsidRDefault="0013148B" w:rsidP="0013148B">
      <w:pPr>
        <w:pStyle w:val="BodyText"/>
        <w:ind w:left="0"/>
      </w:pPr>
      <w:r w:rsidRPr="00405282">
        <w:t>W</w:t>
      </w:r>
      <w:r w:rsidR="00A6063B">
        <w:t xml:space="preserve">yoming </w:t>
      </w:r>
      <w:r w:rsidRPr="00405282">
        <w:t>M</w:t>
      </w:r>
      <w:r w:rsidR="00A6063B">
        <w:t xml:space="preserve">ining </w:t>
      </w:r>
      <w:r w:rsidRPr="00405282">
        <w:t>N</w:t>
      </w:r>
      <w:r w:rsidR="00A6063B">
        <w:t xml:space="preserve">atural </w:t>
      </w:r>
      <w:r w:rsidRPr="00405282">
        <w:t>R</w:t>
      </w:r>
      <w:r w:rsidR="00A6063B">
        <w:t xml:space="preserve">esource </w:t>
      </w:r>
      <w:r w:rsidRPr="00405282">
        <w:t>F</w:t>
      </w:r>
      <w:r w:rsidR="00A6063B">
        <w:t>oundation (WMNRF)</w:t>
      </w:r>
      <w:r w:rsidRPr="00405282">
        <w:t xml:space="preserve"> is </w:t>
      </w:r>
      <w:r w:rsidR="007F3D49">
        <w:t>developing</w:t>
      </w:r>
      <w:r w:rsidRPr="00405282">
        <w:t xml:space="preserve"> a voluntary conservation strategy with an objective of achieving durable </w:t>
      </w:r>
      <w:r w:rsidR="00733564">
        <w:t xml:space="preserve">net </w:t>
      </w:r>
      <w:r w:rsidRPr="00405282">
        <w:t>conservation</w:t>
      </w:r>
      <w:r w:rsidR="00733564">
        <w:t xml:space="preserve"> benefit</w:t>
      </w:r>
      <w:r w:rsidRPr="00405282">
        <w:t xml:space="preserve"> </w:t>
      </w:r>
      <w:r w:rsidR="00733564">
        <w:t xml:space="preserve">for </w:t>
      </w:r>
      <w:r w:rsidRPr="00405282">
        <w:t>the Greater sage-grouse and the habitat on which it depends in the l</w:t>
      </w:r>
      <w:r>
        <w:t xml:space="preserve">andscape context of </w:t>
      </w:r>
      <w:r w:rsidRPr="00405282">
        <w:t xml:space="preserve">mining </w:t>
      </w:r>
      <w:r>
        <w:t xml:space="preserve">and processing </w:t>
      </w:r>
      <w:r w:rsidRPr="00405282">
        <w:t>operations in</w:t>
      </w:r>
      <w:r>
        <w:t xml:space="preserve"> southwestern Wyoming</w:t>
      </w:r>
      <w:r w:rsidRPr="00405282">
        <w:t>.</w:t>
      </w:r>
      <w:r w:rsidR="00F263A0">
        <w:t xml:space="preserve"> </w:t>
      </w:r>
      <w:r w:rsidRPr="00A71841">
        <w:t xml:space="preserve">Implementation of the conservation strategy </w:t>
      </w:r>
      <w:r w:rsidR="00733564">
        <w:t>will be</w:t>
      </w:r>
      <w:r w:rsidRPr="00A71841">
        <w:t xml:space="preserve"> directed by </w:t>
      </w:r>
      <w:r>
        <w:t>an A</w:t>
      </w:r>
      <w:r w:rsidRPr="00A71841">
        <w:t>greement</w:t>
      </w:r>
      <w:r>
        <w:t xml:space="preserve"> </w:t>
      </w:r>
      <w:r w:rsidR="00EC5CDA">
        <w:t>between WMNRF</w:t>
      </w:r>
      <w:r w:rsidR="00966E46">
        <w:t>,</w:t>
      </w:r>
      <w:r>
        <w:t xml:space="preserve"> the U.S. Fish and Wildlife Service</w:t>
      </w:r>
      <w:r w:rsidR="00966E46">
        <w:t>,</w:t>
      </w:r>
      <w:r w:rsidR="005919CB">
        <w:t xml:space="preserve"> and the</w:t>
      </w:r>
      <w:r>
        <w:t xml:space="preserve"> Bureau of Land Management. The Agreement incorporates a combined </w:t>
      </w:r>
      <w:r w:rsidRPr="00A71841">
        <w:t>Candidate Conservation Agreement with Assurances</w:t>
      </w:r>
      <w:r>
        <w:t xml:space="preserve"> </w:t>
      </w:r>
      <w:r w:rsidR="00032B04">
        <w:t xml:space="preserve">(CCAA) </w:t>
      </w:r>
      <w:r>
        <w:t xml:space="preserve">applicable to non-federal property and an integrated </w:t>
      </w:r>
      <w:r w:rsidRPr="00A71841">
        <w:t>Candidate Conservation Agreement</w:t>
      </w:r>
      <w:r w:rsidR="00032B04">
        <w:t xml:space="preserve"> (CCA) </w:t>
      </w:r>
      <w:r>
        <w:t>applicable to federal property</w:t>
      </w:r>
      <w:r w:rsidR="00893EED">
        <w:t xml:space="preserve">. </w:t>
      </w:r>
    </w:p>
    <w:p w14:paraId="5244CCD1" w14:textId="77777777" w:rsidR="00893EED" w:rsidRDefault="00893EED" w:rsidP="0013148B">
      <w:pPr>
        <w:pStyle w:val="BodyText"/>
        <w:ind w:left="0"/>
      </w:pPr>
    </w:p>
    <w:p w14:paraId="34723C87" w14:textId="77777777" w:rsidR="00893EED" w:rsidRDefault="008E6E6F" w:rsidP="0013148B">
      <w:pPr>
        <w:pStyle w:val="BodyText"/>
        <w:ind w:left="0"/>
      </w:pPr>
      <w:r>
        <w:t>Major goals and objectives include:</w:t>
      </w:r>
    </w:p>
    <w:p w14:paraId="1D88CF47" w14:textId="77777777" w:rsidR="008E6E6F" w:rsidRDefault="008E6E6F" w:rsidP="0013148B">
      <w:pPr>
        <w:pStyle w:val="BodyText"/>
        <w:ind w:left="0"/>
      </w:pPr>
    </w:p>
    <w:p w14:paraId="24848E2B" w14:textId="77777777" w:rsidR="008E6E6F" w:rsidRDefault="008E6E6F" w:rsidP="0013148B">
      <w:pPr>
        <w:pStyle w:val="BodyText"/>
        <w:ind w:left="0"/>
      </w:pPr>
      <w:r>
        <w:t>Goal 1 Species Conservation</w:t>
      </w:r>
    </w:p>
    <w:p w14:paraId="0C4EC404" w14:textId="77777777" w:rsidR="008E6E6F" w:rsidRDefault="008E6E6F" w:rsidP="008E6E6F">
      <w:pPr>
        <w:pStyle w:val="BodyText"/>
        <w:numPr>
          <w:ilvl w:val="0"/>
          <w:numId w:val="1"/>
        </w:numPr>
      </w:pPr>
      <w:r>
        <w:t>Objectives</w:t>
      </w:r>
    </w:p>
    <w:p w14:paraId="44C2905D" w14:textId="2C9FCC70" w:rsidR="008E6E6F" w:rsidRPr="006824E9" w:rsidRDefault="008E6E6F" w:rsidP="008E6E6F">
      <w:pPr>
        <w:pStyle w:val="ListParagraph"/>
        <w:numPr>
          <w:ilvl w:val="1"/>
          <w:numId w:val="1"/>
        </w:numPr>
        <w:rPr>
          <w:szCs w:val="24"/>
        </w:rPr>
      </w:pPr>
      <w:bookmarkStart w:id="0" w:name="_Hlk14958501"/>
      <w:r w:rsidRPr="00747E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mplement conservation measures developed to avoid and minimize potential </w:t>
      </w:r>
      <w:r w:rsidR="00B462D0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 xml:space="preserve">threats </w:t>
      </w:r>
      <w:r w:rsidR="00EF17B2">
        <w:rPr>
          <w:rFonts w:ascii="Times New Roman" w:hAnsi="Times New Roman" w:cs="Times New Roman"/>
          <w:sz w:val="24"/>
          <w:szCs w:val="24"/>
        </w:rPr>
        <w:t xml:space="preserve">to the Greater sage-grouse and other sagebrush species that may be </w:t>
      </w:r>
      <w:r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936D5E">
        <w:rPr>
          <w:rFonts w:ascii="Times New Roman" w:hAnsi="Times New Roman" w:cs="Times New Roman"/>
          <w:sz w:val="24"/>
          <w:szCs w:val="24"/>
        </w:rPr>
        <w:t>mining-related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9217D" w14:textId="2BE4ED48" w:rsidR="008E6E6F" w:rsidRPr="00133F2B" w:rsidRDefault="00AB5EA7" w:rsidP="0093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enduring </w:t>
      </w:r>
      <w:r w:rsidR="008E6E6F" w:rsidRPr="00747EA1">
        <w:rPr>
          <w:rFonts w:ascii="Times New Roman" w:hAnsi="Times New Roman" w:cs="Times New Roman"/>
          <w:sz w:val="24"/>
          <w:szCs w:val="24"/>
        </w:rPr>
        <w:t xml:space="preserve">partnerships with federal, state, and private entities to </w:t>
      </w:r>
      <w:r w:rsidR="008E6E6F">
        <w:rPr>
          <w:rFonts w:ascii="Times New Roman" w:hAnsi="Times New Roman" w:cs="Times New Roman"/>
          <w:sz w:val="24"/>
          <w:szCs w:val="24"/>
        </w:rPr>
        <w:t>develop and implement</w:t>
      </w:r>
      <w:r w:rsidR="008E6E6F" w:rsidRPr="00747EA1">
        <w:rPr>
          <w:rFonts w:ascii="Times New Roman" w:hAnsi="Times New Roman" w:cs="Times New Roman"/>
          <w:sz w:val="24"/>
          <w:szCs w:val="24"/>
        </w:rPr>
        <w:t xml:space="preserve"> </w:t>
      </w:r>
      <w:r w:rsidR="008E6E6F">
        <w:rPr>
          <w:rFonts w:ascii="Times New Roman" w:hAnsi="Times New Roman" w:cs="Times New Roman"/>
          <w:sz w:val="24"/>
          <w:szCs w:val="24"/>
        </w:rPr>
        <w:t xml:space="preserve">conservation actions to offset any residual impacts that cannot be avoided. </w:t>
      </w:r>
    </w:p>
    <w:p w14:paraId="216922F3" w14:textId="595D0966" w:rsidR="0023694B" w:rsidRPr="0023694B" w:rsidRDefault="00CD5412" w:rsidP="0023694B">
      <w:pPr>
        <w:pStyle w:val="ListParagraph"/>
        <w:numPr>
          <w:ilvl w:val="1"/>
          <w:numId w:val="1"/>
        </w:num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implement</w:t>
      </w:r>
      <w:r w:rsidR="0023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694B">
        <w:rPr>
          <w:rFonts w:ascii="Times New Roman" w:hAnsi="Times New Roman" w:cs="Times New Roman"/>
          <w:sz w:val="24"/>
          <w:szCs w:val="24"/>
        </w:rPr>
        <w:t xml:space="preserve">Habitat Quantification Tool (HQT) model for purposes of quantifying the loss of functional habitat and habitat use associated with potential </w:t>
      </w:r>
      <w:r w:rsidR="00B462D0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 xml:space="preserve">mining-related </w:t>
      </w:r>
      <w:r w:rsidR="0023694B">
        <w:rPr>
          <w:rFonts w:ascii="Times New Roman" w:hAnsi="Times New Roman" w:cs="Times New Roman"/>
          <w:sz w:val="24"/>
          <w:szCs w:val="24"/>
        </w:rPr>
        <w:t>threats as well as the benefit of conservation measures and offset conservation actions for the Greater sage-grouse and its habitat.</w:t>
      </w:r>
    </w:p>
    <w:p w14:paraId="740EFA4D" w14:textId="544D4E3A" w:rsidR="0076256F" w:rsidRPr="0095654F" w:rsidRDefault="0076256F" w:rsidP="0093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and engage the expertise of a Conservation Advisory Committee co</w:t>
      </w:r>
      <w:r w:rsidR="009279D4">
        <w:rPr>
          <w:rFonts w:ascii="Times New Roman" w:hAnsi="Times New Roman" w:cs="Times New Roman"/>
          <w:sz w:val="24"/>
          <w:szCs w:val="24"/>
        </w:rPr>
        <w:t>mprising</w:t>
      </w:r>
      <w:r>
        <w:rPr>
          <w:rFonts w:ascii="Times New Roman" w:hAnsi="Times New Roman" w:cs="Times New Roman"/>
          <w:sz w:val="24"/>
          <w:szCs w:val="24"/>
        </w:rPr>
        <w:t xml:space="preserve"> local</w:t>
      </w:r>
      <w:r w:rsidR="00F10FDB">
        <w:rPr>
          <w:rFonts w:ascii="Times New Roman" w:hAnsi="Times New Roman" w:cs="Times New Roman"/>
          <w:sz w:val="24"/>
          <w:szCs w:val="24"/>
        </w:rPr>
        <w:t>, state,</w:t>
      </w:r>
      <w:r>
        <w:rPr>
          <w:rFonts w:ascii="Times New Roman" w:hAnsi="Times New Roman" w:cs="Times New Roman"/>
          <w:sz w:val="24"/>
          <w:szCs w:val="24"/>
        </w:rPr>
        <w:t xml:space="preserve"> and regional experts to help guide and advise offset conservation actions</w:t>
      </w:r>
    </w:p>
    <w:p w14:paraId="56DA7D9B" w14:textId="5805E40B" w:rsidR="0095654F" w:rsidRPr="00323C90" w:rsidRDefault="0095654F" w:rsidP="0095654F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747EA1">
        <w:rPr>
          <w:rFonts w:ascii="Times New Roman" w:hAnsi="Times New Roman" w:cs="Times New Roman"/>
          <w:sz w:val="24"/>
          <w:szCs w:val="24"/>
        </w:rPr>
        <w:t xml:space="preserve">an adaptive, outcome-based approach based on monitoring and assessment to guide decisions regarding the efficacy of the conservation measures, habitat response, and, ultimately, abundance of Greater sage-grouse. </w:t>
      </w:r>
    </w:p>
    <w:p w14:paraId="6957BDEF" w14:textId="74B02C8F" w:rsidR="00323C90" w:rsidRPr="003A67EE" w:rsidRDefault="00323C90" w:rsidP="00323C90">
      <w:pPr>
        <w:pStyle w:val="ListParagraph"/>
        <w:numPr>
          <w:ilvl w:val="1"/>
          <w:numId w:val="1"/>
        </w:numPr>
        <w:rPr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Coordinate with federal and state agencies</w:t>
      </w:r>
      <w:r>
        <w:rPr>
          <w:rFonts w:ascii="Times New Roman" w:hAnsi="Times New Roman" w:cs="Times New Roman"/>
          <w:sz w:val="24"/>
          <w:szCs w:val="24"/>
        </w:rPr>
        <w:t xml:space="preserve"> and landowners</w:t>
      </w:r>
      <w:r w:rsidRPr="00747EA1">
        <w:rPr>
          <w:rFonts w:ascii="Times New Roman" w:hAnsi="Times New Roman" w:cs="Times New Roman"/>
          <w:sz w:val="24"/>
          <w:szCs w:val="24"/>
        </w:rPr>
        <w:t xml:space="preserve"> to track Greater sage-grouse populations and trends within the Landscape</w:t>
      </w:r>
      <w:r>
        <w:rPr>
          <w:rFonts w:ascii="Times New Roman" w:hAnsi="Times New Roman" w:cs="Times New Roman"/>
          <w:sz w:val="24"/>
          <w:szCs w:val="24"/>
        </w:rPr>
        <w:t xml:space="preserve"> Conservation</w:t>
      </w:r>
      <w:r w:rsidRPr="00747EA1">
        <w:rPr>
          <w:rFonts w:ascii="Times New Roman" w:hAnsi="Times New Roman" w:cs="Times New Roman"/>
          <w:sz w:val="24"/>
          <w:szCs w:val="24"/>
        </w:rPr>
        <w:t xml:space="preserve"> Area. </w:t>
      </w:r>
    </w:p>
    <w:p w14:paraId="25AA71F2" w14:textId="6EB1D06D" w:rsidR="003A67EE" w:rsidRPr="00560640" w:rsidRDefault="003A67EE" w:rsidP="00560640">
      <w:pPr>
        <w:pStyle w:val="ListParagraph"/>
        <w:numPr>
          <w:ilvl w:val="1"/>
          <w:numId w:val="1"/>
        </w:numPr>
        <w:rPr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Acknowledge the Wyoming Governor’s </w:t>
      </w:r>
      <w:r w:rsidR="008956A6">
        <w:rPr>
          <w:rFonts w:ascii="Times New Roman" w:hAnsi="Times New Roman" w:cs="Times New Roman"/>
          <w:sz w:val="24"/>
          <w:szCs w:val="24"/>
        </w:rPr>
        <w:t xml:space="preserve">Greater sage-grouse </w:t>
      </w:r>
      <w:r w:rsidRPr="00747EA1">
        <w:rPr>
          <w:rFonts w:ascii="Times New Roman" w:hAnsi="Times New Roman" w:cs="Times New Roman"/>
          <w:sz w:val="24"/>
          <w:szCs w:val="24"/>
        </w:rPr>
        <w:t>Executive Order and associated core habitat areas</w:t>
      </w:r>
      <w:r w:rsidR="005919CB">
        <w:rPr>
          <w:rFonts w:ascii="Times New Roman" w:hAnsi="Times New Roman" w:cs="Times New Roman"/>
          <w:sz w:val="24"/>
          <w:szCs w:val="24"/>
        </w:rPr>
        <w:t xml:space="preserve"> and local </w:t>
      </w:r>
      <w:r>
        <w:rPr>
          <w:rFonts w:ascii="Times New Roman" w:hAnsi="Times New Roman" w:cs="Times New Roman"/>
          <w:sz w:val="24"/>
          <w:szCs w:val="24"/>
        </w:rPr>
        <w:t>BLM Resource Management</w:t>
      </w:r>
      <w:r w:rsidR="0059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Plans </w:t>
      </w:r>
      <w:r w:rsidR="00CA2961">
        <w:rPr>
          <w:rFonts w:ascii="Times New Roman" w:hAnsi="Times New Roman" w:cs="Times New Roman"/>
          <w:sz w:val="24"/>
          <w:szCs w:val="24"/>
        </w:rPr>
        <w:t xml:space="preserve">current when the CCAA/CCA is approved </w:t>
      </w:r>
      <w:r w:rsidRPr="00747EA1">
        <w:rPr>
          <w:rFonts w:ascii="Times New Roman" w:hAnsi="Times New Roman" w:cs="Times New Roman"/>
          <w:sz w:val="24"/>
          <w:szCs w:val="24"/>
        </w:rPr>
        <w:t>as representing the minimum regulatory requirements applicable to the defined Covered Activities.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A68B12C" w14:textId="77777777" w:rsidR="005C11AB" w:rsidRDefault="005C11AB" w:rsidP="0013148B">
      <w:pPr>
        <w:pStyle w:val="BodyText"/>
        <w:ind w:left="0"/>
      </w:pPr>
    </w:p>
    <w:p w14:paraId="3E77418F" w14:textId="77777777" w:rsidR="005C11AB" w:rsidRDefault="005C11AB" w:rsidP="0013148B">
      <w:pPr>
        <w:pStyle w:val="BodyText"/>
        <w:ind w:left="0"/>
      </w:pPr>
    </w:p>
    <w:p w14:paraId="23B3A074" w14:textId="77777777" w:rsidR="005C11AB" w:rsidRDefault="005C11AB" w:rsidP="0013148B">
      <w:pPr>
        <w:pStyle w:val="BodyText"/>
        <w:ind w:left="0"/>
      </w:pPr>
    </w:p>
    <w:p w14:paraId="7FF6B337" w14:textId="001AEAF0" w:rsidR="008E6E6F" w:rsidRDefault="008E6E6F" w:rsidP="0013148B">
      <w:pPr>
        <w:pStyle w:val="BodyText"/>
        <w:ind w:left="0"/>
      </w:pPr>
      <w:r>
        <w:t xml:space="preserve">Goal 2 Certainty </w:t>
      </w:r>
      <w:r w:rsidR="00A462AE">
        <w:t xml:space="preserve">for </w:t>
      </w:r>
      <w:r>
        <w:t>and Sustainability of Mining Operations</w:t>
      </w:r>
    </w:p>
    <w:p w14:paraId="36463A18" w14:textId="77777777" w:rsidR="008E6E6F" w:rsidRDefault="008E6E6F" w:rsidP="008E6E6F">
      <w:pPr>
        <w:pStyle w:val="BodyText"/>
        <w:numPr>
          <w:ilvl w:val="0"/>
          <w:numId w:val="1"/>
        </w:numPr>
      </w:pPr>
      <w:r>
        <w:t>Objectives</w:t>
      </w:r>
    </w:p>
    <w:p w14:paraId="3F2F80F6" w14:textId="431C7B4B" w:rsidR="008E6E6F" w:rsidRPr="00EA3D08" w:rsidRDefault="008E6E6F" w:rsidP="00EA3D08">
      <w:pPr>
        <w:pStyle w:val="ListParagraph"/>
        <w:numPr>
          <w:ilvl w:val="0"/>
          <w:numId w:val="2"/>
        </w:numPr>
        <w:rPr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 xml:space="preserve">Obtain an Enhancement of Survival Permit (ESP)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47EA1">
        <w:rPr>
          <w:rFonts w:ascii="Times New Roman" w:hAnsi="Times New Roman" w:cs="Times New Roman"/>
          <w:sz w:val="24"/>
          <w:szCs w:val="24"/>
        </w:rPr>
        <w:t xml:space="preserve"> Incidental Take Statement (ITS)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EA1">
        <w:rPr>
          <w:rFonts w:ascii="Times New Roman" w:hAnsi="Times New Roman" w:cs="Times New Roman"/>
          <w:sz w:val="24"/>
          <w:szCs w:val="24"/>
        </w:rPr>
        <w:t xml:space="preserve">for </w:t>
      </w:r>
      <w:r w:rsidR="001E1B48">
        <w:rPr>
          <w:rFonts w:ascii="Times New Roman" w:hAnsi="Times New Roman" w:cs="Times New Roman"/>
          <w:sz w:val="24"/>
          <w:szCs w:val="24"/>
        </w:rPr>
        <w:t xml:space="preserve">mining-related </w:t>
      </w:r>
      <w:r w:rsidR="00323C90">
        <w:rPr>
          <w:rFonts w:ascii="Times New Roman" w:hAnsi="Times New Roman" w:cs="Times New Roman"/>
          <w:sz w:val="24"/>
          <w:szCs w:val="24"/>
        </w:rPr>
        <w:t xml:space="preserve">Covered Activities </w:t>
      </w:r>
      <w:r w:rsidR="00323C90" w:rsidRPr="00747EA1">
        <w:rPr>
          <w:rFonts w:ascii="Times New Roman" w:hAnsi="Times New Roman" w:cs="Times New Roman"/>
          <w:sz w:val="24"/>
          <w:szCs w:val="24"/>
        </w:rPr>
        <w:t>with an initial permit term of 30 years</w:t>
      </w:r>
      <w:r w:rsidR="00323C90">
        <w:rPr>
          <w:rFonts w:ascii="Times New Roman" w:hAnsi="Times New Roman" w:cs="Times New Roman"/>
          <w:sz w:val="24"/>
          <w:szCs w:val="24"/>
        </w:rPr>
        <w:t xml:space="preserve">, an </w:t>
      </w:r>
      <w:r w:rsidR="00323C90" w:rsidRPr="00747EA1">
        <w:rPr>
          <w:rFonts w:ascii="Times New Roman" w:hAnsi="Times New Roman" w:cs="Times New Roman"/>
          <w:sz w:val="24"/>
          <w:szCs w:val="24"/>
        </w:rPr>
        <w:t>opportunity to amend within the initial 30-year term; and renew at the end of the 30</w:t>
      </w:r>
      <w:r w:rsidR="00323C90">
        <w:rPr>
          <w:rFonts w:ascii="Times New Roman" w:hAnsi="Times New Roman" w:cs="Times New Roman"/>
          <w:sz w:val="24"/>
          <w:szCs w:val="24"/>
        </w:rPr>
        <w:t>-</w:t>
      </w:r>
      <w:r w:rsidR="00323C90" w:rsidRPr="00747EA1">
        <w:rPr>
          <w:rFonts w:ascii="Times New Roman" w:hAnsi="Times New Roman" w:cs="Times New Roman"/>
          <w:sz w:val="24"/>
          <w:szCs w:val="24"/>
        </w:rPr>
        <w:t>year term.</w:t>
      </w:r>
    </w:p>
    <w:p w14:paraId="1C7339D5" w14:textId="09DAF615" w:rsidR="008E6E6F" w:rsidRPr="002D256B" w:rsidRDefault="008E6E6F" w:rsidP="008E6E6F">
      <w:pPr>
        <w:pStyle w:val="ListParagraph"/>
        <w:numPr>
          <w:ilvl w:val="1"/>
          <w:numId w:val="1"/>
        </w:numPr>
        <w:rPr>
          <w:szCs w:val="24"/>
        </w:rPr>
      </w:pPr>
      <w:r w:rsidRPr="00747EA1">
        <w:rPr>
          <w:rFonts w:ascii="Times New Roman" w:hAnsi="Times New Roman" w:cs="Times New Roman"/>
          <w:sz w:val="24"/>
          <w:szCs w:val="24"/>
        </w:rPr>
        <w:t>Uphold the CCAA/CCA commitments, requirements, and assurances that satisfy the ESP and ITS issuance criteria as outlined in th</w:t>
      </w:r>
      <w:r w:rsidR="00F3128B">
        <w:rPr>
          <w:rFonts w:ascii="Times New Roman" w:hAnsi="Times New Roman" w:cs="Times New Roman"/>
          <w:sz w:val="24"/>
          <w:szCs w:val="24"/>
        </w:rPr>
        <w:t>e</w:t>
      </w:r>
      <w:r w:rsidRPr="00747EA1">
        <w:rPr>
          <w:rFonts w:ascii="Times New Roman" w:hAnsi="Times New Roman" w:cs="Times New Roman"/>
          <w:sz w:val="24"/>
          <w:szCs w:val="24"/>
        </w:rPr>
        <w:t xml:space="preserve"> Agreement.</w:t>
      </w:r>
    </w:p>
    <w:p w14:paraId="301F3289" w14:textId="06A7E727" w:rsidR="002D256B" w:rsidRPr="005A2FBE" w:rsidRDefault="002D256B" w:rsidP="002112FC">
      <w:pPr>
        <w:pStyle w:val="ListParagraph"/>
        <w:ind w:left="1440"/>
        <w:rPr>
          <w:szCs w:val="24"/>
          <w:highlight w:val="yellow"/>
        </w:rPr>
      </w:pPr>
    </w:p>
    <w:p w14:paraId="093880AA" w14:textId="77777777" w:rsidR="00DE4950" w:rsidRPr="0013148B" w:rsidRDefault="00DE4950" w:rsidP="0013148B">
      <w:bookmarkStart w:id="1" w:name="_GoBack"/>
      <w:bookmarkEnd w:id="1"/>
    </w:p>
    <w:sectPr w:rsidR="00DE4950" w:rsidRPr="0013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56D"/>
    <w:multiLevelType w:val="hybridMultilevel"/>
    <w:tmpl w:val="9B6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153"/>
    <w:multiLevelType w:val="hybridMultilevel"/>
    <w:tmpl w:val="451C9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F109C"/>
    <w:multiLevelType w:val="hybridMultilevel"/>
    <w:tmpl w:val="3BD60B46"/>
    <w:lvl w:ilvl="0" w:tplc="E92CD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8B"/>
    <w:rsid w:val="00032B04"/>
    <w:rsid w:val="0013148B"/>
    <w:rsid w:val="00133F2B"/>
    <w:rsid w:val="00165FB2"/>
    <w:rsid w:val="001C06B7"/>
    <w:rsid w:val="001E1B48"/>
    <w:rsid w:val="002025D9"/>
    <w:rsid w:val="002112FC"/>
    <w:rsid w:val="0023694B"/>
    <w:rsid w:val="002D256B"/>
    <w:rsid w:val="00323C90"/>
    <w:rsid w:val="003A67EE"/>
    <w:rsid w:val="00445CDC"/>
    <w:rsid w:val="00491755"/>
    <w:rsid w:val="00560640"/>
    <w:rsid w:val="005919CB"/>
    <w:rsid w:val="005A2FBE"/>
    <w:rsid w:val="005C11AB"/>
    <w:rsid w:val="00733564"/>
    <w:rsid w:val="0076256F"/>
    <w:rsid w:val="007F3D49"/>
    <w:rsid w:val="00860023"/>
    <w:rsid w:val="00893EED"/>
    <w:rsid w:val="008956A6"/>
    <w:rsid w:val="008E6E6F"/>
    <w:rsid w:val="009279D4"/>
    <w:rsid w:val="00936D5E"/>
    <w:rsid w:val="0095654F"/>
    <w:rsid w:val="00966E46"/>
    <w:rsid w:val="00A00BFB"/>
    <w:rsid w:val="00A462AE"/>
    <w:rsid w:val="00A6063B"/>
    <w:rsid w:val="00AB5EA7"/>
    <w:rsid w:val="00AD65D5"/>
    <w:rsid w:val="00B462D0"/>
    <w:rsid w:val="00CA2961"/>
    <w:rsid w:val="00CD5412"/>
    <w:rsid w:val="00DE4950"/>
    <w:rsid w:val="00EA3D08"/>
    <w:rsid w:val="00EC3113"/>
    <w:rsid w:val="00EC5CDA"/>
    <w:rsid w:val="00EF17B2"/>
    <w:rsid w:val="00F10FDB"/>
    <w:rsid w:val="00F263A0"/>
    <w:rsid w:val="00F3128B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25E3"/>
  <w15:chartTrackingRefBased/>
  <w15:docId w15:val="{691A122C-7412-4B47-B108-27F4D8C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148B"/>
    <w:pPr>
      <w:widowControl w:val="0"/>
      <w:spacing w:after="0" w:line="240" w:lineRule="auto"/>
      <w:ind w:left="288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14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E6E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Burget</dc:creator>
  <cp:keywords/>
  <dc:description/>
  <cp:lastModifiedBy>wanda_burget@outlook.com</cp:lastModifiedBy>
  <cp:revision>4</cp:revision>
  <dcterms:created xsi:type="dcterms:W3CDTF">2019-09-04T16:37:00Z</dcterms:created>
  <dcterms:modified xsi:type="dcterms:W3CDTF">2019-09-04T16:38:00Z</dcterms:modified>
</cp:coreProperties>
</file>